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5A2C7" w14:textId="7F0DFFCB" w:rsidR="00774107" w:rsidRPr="00E029A5" w:rsidRDefault="00E7617C" w:rsidP="00F671D5">
      <w:pPr>
        <w:spacing w:line="420" w:lineRule="exact"/>
      </w:pPr>
      <w:r w:rsidRPr="00E029A5">
        <w:rPr>
          <w:rFonts w:eastAsia="標楷體"/>
          <w:noProof/>
          <w:sz w:val="32"/>
          <w:szCs w:val="32"/>
        </w:rPr>
        <mc:AlternateContent>
          <mc:Choice Requires="wps">
            <w:drawing>
              <wp:anchor distT="45720" distB="45720" distL="114300" distR="114300" simplePos="0" relativeHeight="251659264" behindDoc="1" locked="0" layoutInCell="1" allowOverlap="1" wp14:anchorId="1A5691EA" wp14:editId="3BD3B4DD">
                <wp:simplePos x="0" y="0"/>
                <wp:positionH relativeFrom="margin">
                  <wp:posOffset>28575</wp:posOffset>
                </wp:positionH>
                <wp:positionV relativeFrom="page">
                  <wp:posOffset>512445</wp:posOffset>
                </wp:positionV>
                <wp:extent cx="861060" cy="328930"/>
                <wp:effectExtent l="0" t="0" r="15240" b="1397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28930"/>
                        </a:xfrm>
                        <a:prstGeom prst="rect">
                          <a:avLst/>
                        </a:prstGeom>
                        <a:solidFill>
                          <a:srgbClr val="FFFFFF"/>
                        </a:solidFill>
                        <a:ln w="9525">
                          <a:solidFill>
                            <a:srgbClr val="000000"/>
                          </a:solidFill>
                          <a:miter lim="800000"/>
                          <a:headEnd/>
                          <a:tailEnd/>
                        </a:ln>
                      </wps:spPr>
                      <wps:txbx>
                        <w:txbxContent>
                          <w:p w14:paraId="392CAE17" w14:textId="1734E5CE" w:rsidR="00E7617C" w:rsidRPr="00BD5E90" w:rsidRDefault="00E7617C" w:rsidP="00E7617C">
                            <w:pPr>
                              <w:spacing w:line="360" w:lineRule="exact"/>
                              <w:jc w:val="center"/>
                              <w:rPr>
                                <w:rFonts w:eastAsia="標楷體"/>
                                <w:b/>
                                <w:bCs/>
                                <w:sz w:val="28"/>
                                <w:szCs w:val="28"/>
                              </w:rPr>
                            </w:pPr>
                            <w:r w:rsidRPr="00BD5E90">
                              <w:rPr>
                                <w:rFonts w:eastAsia="標楷體"/>
                                <w:b/>
                                <w:bCs/>
                                <w:sz w:val="28"/>
                                <w:szCs w:val="28"/>
                              </w:rPr>
                              <w:t>附件</w:t>
                            </w:r>
                            <w:r w:rsidR="008C061C">
                              <w:rPr>
                                <w:rFonts w:eastAsia="標楷體"/>
                                <w:b/>
                                <w:bCs/>
                                <w:sz w:val="28"/>
                                <w:szCs w:val="28"/>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5691EA" id="_x0000_t202" coordsize="21600,21600" o:spt="202" path="m,l,21600r21600,l21600,xe">
                <v:stroke joinstyle="miter"/>
                <v:path gradientshapeok="t" o:connecttype="rect"/>
              </v:shapetype>
              <v:shape id="文字方塊 2" o:spid="_x0000_s1026" type="#_x0000_t202" style="position:absolute;margin-left:2.25pt;margin-top:40.35pt;width:67.8pt;height:25.9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">
                <v:textbox style="mso-fit-shape-to-text:t">
                  <w:txbxContent>
                    <w:p w14:paraId="392CAE17" w14:textId="1734E5CE" w:rsidR="00E7617C" w:rsidRPr="00BD5E90" w:rsidRDefault="00E7617C" w:rsidP="00E7617C">
                      <w:pPr>
                        <w:spacing w:line="360" w:lineRule="exact"/>
                        <w:jc w:val="center"/>
                        <w:rPr>
                          <w:rFonts w:eastAsia="標楷體"/>
                          <w:b/>
                          <w:bCs/>
                          <w:sz w:val="28"/>
                          <w:szCs w:val="28"/>
                        </w:rPr>
                      </w:pPr>
                      <w:r w:rsidRPr="00BD5E90">
                        <w:rPr>
                          <w:rFonts w:eastAsia="標楷體"/>
                          <w:b/>
                          <w:bCs/>
                          <w:sz w:val="28"/>
                          <w:szCs w:val="28"/>
                        </w:rPr>
                        <w:t>附件</w:t>
                      </w:r>
                      <w:r w:rsidR="008C061C">
                        <w:rPr>
                          <w:rFonts w:eastAsia="標楷體"/>
                          <w:b/>
                          <w:bCs/>
                          <w:sz w:val="28"/>
                          <w:szCs w:val="28"/>
                        </w:rPr>
                        <w:t>2</w:t>
                      </w:r>
                    </w:p>
                  </w:txbxContent>
                </v:textbox>
                <w10:wrap anchorx="margin" anchory="page"/>
              </v:shape>
            </w:pict>
          </mc:Fallback>
        </mc:AlternateContent>
      </w:r>
      <w:r w:rsidR="00774107" w:rsidRPr="00E029A5">
        <w:rPr>
          <w:rFonts w:eastAsia="標楷體"/>
          <w:color w:val="000000"/>
          <w:spacing w:val="20"/>
          <w:sz w:val="36"/>
          <w:szCs w:val="36"/>
        </w:rPr>
        <w:t>中華民國證券商業同業公會</w:t>
      </w:r>
      <w:r w:rsidR="00D60164">
        <w:rPr>
          <w:rFonts w:eastAsia="標楷體" w:hint="eastAsia"/>
          <w:color w:val="000000"/>
          <w:spacing w:val="20"/>
          <w:sz w:val="36"/>
          <w:szCs w:val="36"/>
        </w:rPr>
        <w:t>「</w:t>
      </w:r>
      <w:r w:rsidR="00720B4D" w:rsidRPr="00720B4D">
        <w:rPr>
          <w:rFonts w:eastAsia="標楷體" w:hint="eastAsia"/>
          <w:color w:val="000000"/>
          <w:spacing w:val="20"/>
          <w:sz w:val="36"/>
          <w:szCs w:val="36"/>
        </w:rPr>
        <w:t>證券商辦理競價拍賣配售作業處理程序</w:t>
      </w:r>
      <w:r w:rsidR="00774107" w:rsidRPr="00E029A5">
        <w:rPr>
          <w:rFonts w:eastAsia="標楷體"/>
          <w:color w:val="000000"/>
          <w:spacing w:val="20"/>
          <w:sz w:val="36"/>
          <w:szCs w:val="36"/>
        </w:rPr>
        <w:t>」</w:t>
      </w:r>
      <w:bookmarkStart w:id="0" w:name="_Hlk153887398"/>
      <w:r w:rsidR="00720B4D">
        <w:rPr>
          <w:rFonts w:eastAsia="標楷體" w:hint="eastAsia"/>
          <w:color w:val="000000"/>
          <w:spacing w:val="20"/>
          <w:sz w:val="36"/>
          <w:szCs w:val="36"/>
        </w:rPr>
        <w:t>第壹點</w:t>
      </w:r>
      <w:r w:rsidR="00774107" w:rsidRPr="00E029A5">
        <w:rPr>
          <w:rFonts w:eastAsia="標楷體"/>
          <w:color w:val="000000"/>
          <w:spacing w:val="20"/>
          <w:sz w:val="36"/>
          <w:szCs w:val="36"/>
        </w:rPr>
        <w:t>修正條文對照表</w:t>
      </w:r>
      <w:bookmarkEnd w:id="0"/>
    </w:p>
    <w:tbl>
      <w:tblPr>
        <w:tblStyle w:val="a3"/>
        <w:tblW w:w="9918" w:type="dxa"/>
        <w:tblLayout w:type="fixed"/>
        <w:tblLook w:val="04A0" w:firstRow="1" w:lastRow="0" w:firstColumn="1" w:lastColumn="0" w:noHBand="0" w:noVBand="1"/>
      </w:tblPr>
      <w:tblGrid>
        <w:gridCol w:w="3853"/>
        <w:gridCol w:w="3854"/>
        <w:gridCol w:w="2211"/>
      </w:tblGrid>
      <w:tr w:rsidR="00774107" w:rsidRPr="008C061C" w14:paraId="762A0D15" w14:textId="77777777" w:rsidTr="006924C2">
        <w:tc>
          <w:tcPr>
            <w:tcW w:w="3853" w:type="dxa"/>
          </w:tcPr>
          <w:p w14:paraId="11828144" w14:textId="77777777" w:rsidR="00774107" w:rsidRPr="008C061C" w:rsidRDefault="00774107" w:rsidP="00621EAA">
            <w:pPr>
              <w:spacing w:line="400" w:lineRule="exact"/>
              <w:jc w:val="center"/>
              <w:rPr>
                <w:rFonts w:eastAsia="標楷體"/>
                <w:szCs w:val="24"/>
              </w:rPr>
            </w:pPr>
            <w:r w:rsidRPr="008C061C">
              <w:rPr>
                <w:rFonts w:eastAsia="標楷體"/>
                <w:szCs w:val="24"/>
              </w:rPr>
              <w:t>修正條文</w:t>
            </w:r>
          </w:p>
        </w:tc>
        <w:tc>
          <w:tcPr>
            <w:tcW w:w="3854" w:type="dxa"/>
          </w:tcPr>
          <w:p w14:paraId="56A5C06E" w14:textId="77777777" w:rsidR="00774107" w:rsidRPr="008C061C" w:rsidRDefault="00774107" w:rsidP="00621EAA">
            <w:pPr>
              <w:spacing w:line="400" w:lineRule="exact"/>
              <w:jc w:val="center"/>
              <w:rPr>
                <w:rFonts w:eastAsia="標楷體"/>
                <w:szCs w:val="24"/>
              </w:rPr>
            </w:pPr>
            <w:r w:rsidRPr="008C061C">
              <w:rPr>
                <w:rFonts w:eastAsia="標楷體"/>
                <w:szCs w:val="24"/>
              </w:rPr>
              <w:t>現行條文</w:t>
            </w:r>
          </w:p>
        </w:tc>
        <w:tc>
          <w:tcPr>
            <w:tcW w:w="2211" w:type="dxa"/>
          </w:tcPr>
          <w:p w14:paraId="2FD414AD" w14:textId="77777777" w:rsidR="00774107" w:rsidRPr="008C061C" w:rsidRDefault="00774107" w:rsidP="00621EAA">
            <w:pPr>
              <w:spacing w:line="400" w:lineRule="exact"/>
              <w:jc w:val="center"/>
              <w:rPr>
                <w:rFonts w:eastAsia="標楷體"/>
                <w:szCs w:val="24"/>
              </w:rPr>
            </w:pPr>
            <w:r w:rsidRPr="008C061C">
              <w:rPr>
                <w:rFonts w:eastAsia="標楷體"/>
                <w:szCs w:val="24"/>
              </w:rPr>
              <w:t>說明</w:t>
            </w:r>
          </w:p>
        </w:tc>
      </w:tr>
      <w:tr w:rsidR="00414756" w:rsidRPr="008C061C" w14:paraId="73C6BF1F" w14:textId="77777777" w:rsidTr="006924C2">
        <w:tc>
          <w:tcPr>
            <w:tcW w:w="3853" w:type="dxa"/>
          </w:tcPr>
          <w:p w14:paraId="052CA227" w14:textId="77777777" w:rsidR="00414756" w:rsidRPr="008C061C" w:rsidRDefault="00414756" w:rsidP="00414756">
            <w:pPr>
              <w:pStyle w:val="1"/>
              <w:spacing w:before="0" w:after="0" w:line="400" w:lineRule="exact"/>
              <w:ind w:left="0" w:right="0"/>
              <w:rPr>
                <w:sz w:val="24"/>
                <w:szCs w:val="24"/>
              </w:rPr>
            </w:pPr>
            <w:r w:rsidRPr="008C061C">
              <w:rPr>
                <w:rFonts w:hint="eastAsia"/>
                <w:sz w:val="24"/>
                <w:szCs w:val="24"/>
              </w:rPr>
              <w:t>壹、基本資料建檔作業程序：</w:t>
            </w:r>
          </w:p>
          <w:p w14:paraId="1C556439" w14:textId="77777777" w:rsidR="00414756" w:rsidRPr="008C061C" w:rsidRDefault="00414756" w:rsidP="00414756">
            <w:pPr>
              <w:pStyle w:val="a4"/>
              <w:spacing w:line="400" w:lineRule="exact"/>
              <w:ind w:left="567" w:hanging="567"/>
              <w:jc w:val="both"/>
              <w:rPr>
                <w:rFonts w:ascii="標楷體" w:eastAsia="標楷體" w:hAnsi="Arial"/>
                <w:color w:val="000000"/>
                <w:szCs w:val="24"/>
              </w:rPr>
            </w:pPr>
            <w:r w:rsidRPr="008C061C">
              <w:rPr>
                <w:rFonts w:ascii="標楷體" w:eastAsia="標楷體" w:hAnsi="Arial" w:hint="eastAsia"/>
                <w:color w:val="000000"/>
                <w:szCs w:val="24"/>
              </w:rPr>
              <w:t>一、</w:t>
            </w:r>
            <w:r w:rsidRPr="008C061C">
              <w:rPr>
                <w:rFonts w:ascii="標楷體" w:eastAsia="標楷體" w:hAnsi="標楷體" w:hint="eastAsia"/>
                <w:color w:val="000000"/>
                <w:szCs w:val="24"/>
              </w:rPr>
              <w:t>主辦承銷商應於辦理競價拍賣作業前，對於尚無證券代號之有價證券，應依相關規定向台灣證券交易所股份有限公司（以下簡稱證交所）、或向財團法人中華民國證券櫃檯買賣中心（以下簡稱櫃買中心）申請證券代號。</w:t>
            </w:r>
          </w:p>
          <w:p w14:paraId="12F29F13" w14:textId="77777777" w:rsidR="00414756" w:rsidRPr="008C061C" w:rsidRDefault="00414756" w:rsidP="00414756">
            <w:pPr>
              <w:pStyle w:val="a4"/>
              <w:spacing w:line="400" w:lineRule="exact"/>
              <w:ind w:left="567" w:hanging="567"/>
              <w:jc w:val="both"/>
              <w:rPr>
                <w:rFonts w:ascii="標楷體" w:eastAsia="標楷體" w:hAnsi="標楷體"/>
                <w:color w:val="000000"/>
                <w:szCs w:val="24"/>
              </w:rPr>
            </w:pPr>
            <w:r w:rsidRPr="008C061C">
              <w:rPr>
                <w:rFonts w:ascii="標楷體" w:eastAsia="標楷體" w:hAnsi="標楷體" w:hint="eastAsia"/>
                <w:color w:val="000000"/>
                <w:szCs w:val="24"/>
              </w:rPr>
              <w:t>二、</w:t>
            </w:r>
            <w:proofErr w:type="gramStart"/>
            <w:r w:rsidRPr="008C061C">
              <w:rPr>
                <w:rFonts w:ascii="標楷體" w:eastAsia="標楷體" w:hAnsi="標楷體" w:hint="eastAsia"/>
                <w:color w:val="000000"/>
                <w:szCs w:val="24"/>
              </w:rPr>
              <w:t>採</w:t>
            </w:r>
            <w:proofErr w:type="gramEnd"/>
            <w:r w:rsidRPr="008C061C">
              <w:rPr>
                <w:rFonts w:ascii="標楷體" w:eastAsia="標楷體" w:hAnsi="標楷體" w:hint="eastAsia"/>
                <w:color w:val="000000"/>
                <w:szCs w:val="24"/>
              </w:rPr>
              <w:t>競價拍賣配售方式辦理之承銷案件，主辦承銷商應於向本公會申報承銷書</w:t>
            </w:r>
            <w:proofErr w:type="gramStart"/>
            <w:r w:rsidRPr="008C061C">
              <w:rPr>
                <w:rFonts w:ascii="標楷體" w:eastAsia="標楷體" w:hAnsi="標楷體" w:hint="eastAsia"/>
                <w:color w:val="000000"/>
                <w:szCs w:val="24"/>
              </w:rPr>
              <w:t>件時副知</w:t>
            </w:r>
            <w:proofErr w:type="gramEnd"/>
            <w:r w:rsidRPr="008C061C">
              <w:rPr>
                <w:rFonts w:ascii="標楷體" w:eastAsia="標楷體" w:hAnsi="標楷體" w:hint="eastAsia"/>
                <w:color w:val="000000"/>
                <w:szCs w:val="24"/>
              </w:rPr>
              <w:t>證交所，</w:t>
            </w:r>
            <w:proofErr w:type="gramStart"/>
            <w:r w:rsidRPr="008C061C">
              <w:rPr>
                <w:rFonts w:ascii="標楷體" w:eastAsia="標楷體" w:hAnsi="標楷體" w:hint="eastAsia"/>
                <w:color w:val="000000"/>
                <w:szCs w:val="24"/>
              </w:rPr>
              <w:t>並將競價</w:t>
            </w:r>
            <w:proofErr w:type="gramEnd"/>
            <w:r w:rsidRPr="008C061C">
              <w:rPr>
                <w:rFonts w:ascii="標楷體" w:eastAsia="標楷體" w:hAnsi="標楷體" w:hint="eastAsia"/>
                <w:color w:val="000000"/>
                <w:szCs w:val="24"/>
              </w:rPr>
              <w:t>拍賣（承銷）公告文稿及時程表送達證交所，並副知台灣集中保管結算所股份有限公司（以下簡稱集保結算所），如屬上櫃有價證券應另</w:t>
            </w:r>
            <w:proofErr w:type="gramStart"/>
            <w:r w:rsidRPr="008C061C">
              <w:rPr>
                <w:rFonts w:ascii="標楷體" w:eastAsia="標楷體" w:hAnsi="標楷體" w:hint="eastAsia"/>
                <w:color w:val="000000"/>
                <w:szCs w:val="24"/>
              </w:rPr>
              <w:t>函送櫃買</w:t>
            </w:r>
            <w:proofErr w:type="gramEnd"/>
            <w:r w:rsidRPr="008C061C">
              <w:rPr>
                <w:rFonts w:ascii="標楷體" w:eastAsia="標楷體" w:hAnsi="標楷體" w:hint="eastAsia"/>
                <w:color w:val="000000"/>
                <w:szCs w:val="24"/>
              </w:rPr>
              <w:t>中心，證交所應據以於刊登競價拍賣公告前建立電腦基本資料檔，並以電腦連線系統供各證券商查詢。</w:t>
            </w:r>
          </w:p>
          <w:p w14:paraId="3E7051FA" w14:textId="25040047" w:rsidR="00414756" w:rsidRPr="008C061C" w:rsidRDefault="00414756" w:rsidP="00414756">
            <w:pPr>
              <w:pStyle w:val="a4"/>
              <w:spacing w:line="400" w:lineRule="exact"/>
              <w:ind w:left="567" w:hanging="567"/>
              <w:jc w:val="both"/>
              <w:rPr>
                <w:rFonts w:eastAsia="標楷體"/>
                <w:szCs w:val="24"/>
              </w:rPr>
            </w:pPr>
            <w:r w:rsidRPr="008C061C">
              <w:rPr>
                <w:rFonts w:ascii="標楷體" w:eastAsia="標楷體" w:hAnsi="標楷體" w:hint="eastAsia"/>
                <w:color w:val="000000"/>
                <w:szCs w:val="24"/>
              </w:rPr>
              <w:t>三、建立基本資料及上傳不得參與競價拍賣名單：競價拍賣公告日前二個營業日，主辦承銷商應於「承銷有價證券競價拍賣系統」(以下簡稱競拍系統)建立案件基本資料，並上傳依</w:t>
            </w:r>
            <w:r w:rsidRPr="008C061C">
              <w:rPr>
                <w:rFonts w:ascii="標楷體" w:eastAsia="標楷體" w:hAnsi="標楷體"/>
                <w:color w:val="000000"/>
                <w:szCs w:val="24"/>
              </w:rPr>
              <w:t>本公會「證券商承銷或再行銷售有價證券處理辦法」（以下簡稱本辦法）</w:t>
            </w:r>
            <w:r w:rsidRPr="008C061C">
              <w:rPr>
                <w:rFonts w:ascii="標楷體" w:eastAsia="標楷體" w:hAnsi="標楷體" w:hint="eastAsia"/>
                <w:color w:val="000000"/>
                <w:szCs w:val="24"/>
              </w:rPr>
              <w:t>第三十六條不得參</w:t>
            </w:r>
            <w:r w:rsidRPr="008C061C">
              <w:rPr>
                <w:rFonts w:ascii="標楷體" w:eastAsia="標楷體" w:hAnsi="標楷體" w:hint="eastAsia"/>
                <w:color w:val="000000"/>
                <w:szCs w:val="24"/>
              </w:rPr>
              <w:lastRenderedPageBreak/>
              <w:t>與投標之</w:t>
            </w:r>
            <w:r w:rsidRPr="008C061C">
              <w:rPr>
                <w:rFonts w:ascii="標楷體" w:eastAsia="標楷體" w:hAnsi="標楷體"/>
                <w:color w:val="000000"/>
                <w:szCs w:val="24"/>
              </w:rPr>
              <w:t>名單</w:t>
            </w:r>
            <w:r w:rsidRPr="008C061C">
              <w:rPr>
                <w:rFonts w:ascii="標楷體" w:eastAsia="標楷體" w:hAnsi="標楷體" w:hint="eastAsia"/>
                <w:color w:val="000000"/>
                <w:szCs w:val="24"/>
              </w:rPr>
              <w:t>，協辦承銷商應各自上傳依本辦法第三十六條第一項第七款不得參與投標之</w:t>
            </w:r>
            <w:r w:rsidRPr="008C061C">
              <w:rPr>
                <w:rFonts w:ascii="標楷體" w:eastAsia="標楷體" w:hAnsi="標楷體"/>
                <w:color w:val="000000"/>
                <w:szCs w:val="24"/>
              </w:rPr>
              <w:t>名單</w:t>
            </w:r>
            <w:r w:rsidRPr="008C061C">
              <w:rPr>
                <w:rFonts w:ascii="標楷體" w:eastAsia="標楷體" w:hAnsi="標楷體" w:hint="eastAsia"/>
                <w:color w:val="000000"/>
                <w:szCs w:val="24"/>
              </w:rPr>
              <w:t>，證交所據以比對投標人身份之適法性。</w:t>
            </w:r>
          </w:p>
        </w:tc>
        <w:tc>
          <w:tcPr>
            <w:tcW w:w="3854" w:type="dxa"/>
          </w:tcPr>
          <w:p w14:paraId="31E2857F" w14:textId="77777777" w:rsidR="00414756" w:rsidRPr="008C061C" w:rsidRDefault="00414756" w:rsidP="00414756">
            <w:pPr>
              <w:pStyle w:val="1"/>
              <w:spacing w:before="0" w:after="0" w:line="400" w:lineRule="exact"/>
              <w:ind w:left="0" w:right="0"/>
              <w:rPr>
                <w:sz w:val="24"/>
                <w:szCs w:val="24"/>
              </w:rPr>
            </w:pPr>
            <w:r w:rsidRPr="008C061C">
              <w:rPr>
                <w:rFonts w:hint="eastAsia"/>
                <w:sz w:val="24"/>
                <w:szCs w:val="24"/>
              </w:rPr>
              <w:lastRenderedPageBreak/>
              <w:t>壹、基本資料建檔作業程序：</w:t>
            </w:r>
          </w:p>
          <w:p w14:paraId="5A281DEB" w14:textId="68635102" w:rsidR="00414756" w:rsidRPr="008C061C" w:rsidRDefault="00414756" w:rsidP="00414756">
            <w:pPr>
              <w:pStyle w:val="a4"/>
              <w:spacing w:line="400" w:lineRule="exact"/>
              <w:ind w:left="567" w:hanging="567"/>
              <w:jc w:val="both"/>
              <w:rPr>
                <w:rFonts w:ascii="標楷體" w:eastAsia="標楷體" w:hAnsi="Arial"/>
                <w:color w:val="000000"/>
                <w:szCs w:val="24"/>
              </w:rPr>
            </w:pPr>
            <w:r w:rsidRPr="008C061C">
              <w:rPr>
                <w:rFonts w:ascii="標楷體" w:eastAsia="標楷體" w:hAnsi="Arial" w:hint="eastAsia"/>
                <w:color w:val="000000"/>
                <w:szCs w:val="24"/>
              </w:rPr>
              <w:t>一、</w:t>
            </w:r>
            <w:r w:rsidRPr="008C061C">
              <w:rPr>
                <w:rFonts w:ascii="標楷體" w:eastAsia="標楷體" w:hAnsi="標楷體" w:hint="eastAsia"/>
                <w:color w:val="000000"/>
                <w:szCs w:val="24"/>
              </w:rPr>
              <w:t>主辦承銷商應於辦理競價拍賣作業前，對於尚無證券代號之有價證券，應依相關規定向台灣證券交易所股份有限公司（以下簡稱證交所）、或向財團法人中華民國證券櫃檯買賣中心（以下簡稱櫃買中心）申請證券代號。</w:t>
            </w:r>
          </w:p>
          <w:p w14:paraId="5010B6D5" w14:textId="64EA182B" w:rsidR="00414756" w:rsidRPr="008C061C" w:rsidRDefault="00414756" w:rsidP="00414756">
            <w:pPr>
              <w:pStyle w:val="a4"/>
              <w:spacing w:line="400" w:lineRule="exact"/>
              <w:ind w:left="567" w:hanging="567"/>
              <w:jc w:val="both"/>
              <w:rPr>
                <w:rFonts w:ascii="標楷體" w:eastAsia="標楷體" w:hAnsi="標楷體"/>
                <w:color w:val="000000"/>
                <w:szCs w:val="24"/>
              </w:rPr>
            </w:pPr>
            <w:r w:rsidRPr="008C061C">
              <w:rPr>
                <w:rFonts w:ascii="標楷體" w:eastAsia="標楷體" w:hAnsi="標楷體" w:hint="eastAsia"/>
                <w:color w:val="000000"/>
                <w:szCs w:val="24"/>
              </w:rPr>
              <w:t>二、</w:t>
            </w:r>
            <w:proofErr w:type="gramStart"/>
            <w:r w:rsidRPr="008C061C">
              <w:rPr>
                <w:rFonts w:ascii="標楷體" w:eastAsia="標楷體" w:hAnsi="標楷體" w:hint="eastAsia"/>
                <w:color w:val="000000"/>
                <w:szCs w:val="24"/>
              </w:rPr>
              <w:t>採</w:t>
            </w:r>
            <w:proofErr w:type="gramEnd"/>
            <w:r w:rsidRPr="008C061C">
              <w:rPr>
                <w:rFonts w:ascii="標楷體" w:eastAsia="標楷體" w:hAnsi="標楷體" w:hint="eastAsia"/>
                <w:color w:val="000000"/>
                <w:szCs w:val="24"/>
              </w:rPr>
              <w:t>競價拍賣配售方式辦理之承銷案件，主辦承銷商應於向本公會申報承銷書</w:t>
            </w:r>
            <w:proofErr w:type="gramStart"/>
            <w:r w:rsidRPr="008C061C">
              <w:rPr>
                <w:rFonts w:ascii="標楷體" w:eastAsia="標楷體" w:hAnsi="標楷體" w:hint="eastAsia"/>
                <w:color w:val="000000"/>
                <w:szCs w:val="24"/>
              </w:rPr>
              <w:t>件時副知</w:t>
            </w:r>
            <w:proofErr w:type="gramEnd"/>
            <w:r w:rsidRPr="008C061C">
              <w:rPr>
                <w:rFonts w:ascii="標楷體" w:eastAsia="標楷體" w:hAnsi="標楷體" w:hint="eastAsia"/>
                <w:color w:val="000000"/>
                <w:szCs w:val="24"/>
              </w:rPr>
              <w:t>證交所，</w:t>
            </w:r>
            <w:proofErr w:type="gramStart"/>
            <w:r w:rsidRPr="008C061C">
              <w:rPr>
                <w:rFonts w:ascii="標楷體" w:eastAsia="標楷體" w:hAnsi="標楷體" w:hint="eastAsia"/>
                <w:color w:val="000000"/>
                <w:szCs w:val="24"/>
              </w:rPr>
              <w:t>並將競價</w:t>
            </w:r>
            <w:proofErr w:type="gramEnd"/>
            <w:r w:rsidRPr="008C061C">
              <w:rPr>
                <w:rFonts w:ascii="標楷體" w:eastAsia="標楷體" w:hAnsi="標楷體" w:hint="eastAsia"/>
                <w:color w:val="000000"/>
                <w:szCs w:val="24"/>
              </w:rPr>
              <w:t>拍賣（承銷）公告文稿及時程表送達證交所，並副知台灣集中保管結算所股份有限公司（以下簡稱集保結算所），如屬上櫃有價證券應另</w:t>
            </w:r>
            <w:proofErr w:type="gramStart"/>
            <w:r w:rsidRPr="008C061C">
              <w:rPr>
                <w:rFonts w:ascii="標楷體" w:eastAsia="標楷體" w:hAnsi="標楷體" w:hint="eastAsia"/>
                <w:color w:val="000000"/>
                <w:szCs w:val="24"/>
              </w:rPr>
              <w:t>函送櫃買</w:t>
            </w:r>
            <w:proofErr w:type="gramEnd"/>
            <w:r w:rsidRPr="008C061C">
              <w:rPr>
                <w:rFonts w:ascii="標楷體" w:eastAsia="標楷體" w:hAnsi="標楷體" w:hint="eastAsia"/>
                <w:color w:val="000000"/>
                <w:szCs w:val="24"/>
              </w:rPr>
              <w:t>中心，證交所應據以於刊登競價拍賣公告前建立電腦基本資料檔，並以電腦連線系統供各證券商查詢。</w:t>
            </w:r>
          </w:p>
          <w:p w14:paraId="2C42E9E3" w14:textId="032D683D" w:rsidR="00414756" w:rsidRPr="008C061C" w:rsidRDefault="00414756" w:rsidP="00414756">
            <w:pPr>
              <w:pStyle w:val="a4"/>
              <w:spacing w:line="400" w:lineRule="exact"/>
              <w:ind w:left="567" w:hanging="567"/>
              <w:jc w:val="both"/>
              <w:rPr>
                <w:rFonts w:ascii="標楷體" w:eastAsia="標楷體" w:hAnsi="標楷體"/>
                <w:color w:val="000000"/>
                <w:szCs w:val="24"/>
              </w:rPr>
            </w:pPr>
            <w:r w:rsidRPr="008C061C">
              <w:rPr>
                <w:rFonts w:ascii="標楷體" w:eastAsia="標楷體" w:hAnsi="標楷體" w:hint="eastAsia"/>
                <w:color w:val="000000"/>
                <w:szCs w:val="24"/>
              </w:rPr>
              <w:t>三、建立基本資料及上傳不得參與競價拍賣名單：競價拍賣公告日前二個營業日，主辦承銷商應於「承銷有價證券競價拍賣系統」(以下簡稱競拍系統)建立案件基本資料，並上傳依</w:t>
            </w:r>
            <w:r w:rsidRPr="008C061C">
              <w:rPr>
                <w:rFonts w:ascii="標楷體" w:eastAsia="標楷體" w:hAnsi="標楷體"/>
                <w:color w:val="000000"/>
                <w:szCs w:val="24"/>
              </w:rPr>
              <w:t>本公會「證券商承銷或再行銷售有價證券處理辦法」（以下簡稱本辦法）</w:t>
            </w:r>
            <w:r w:rsidRPr="008C061C">
              <w:rPr>
                <w:rFonts w:ascii="標楷體" w:eastAsia="標楷體" w:hAnsi="標楷體" w:hint="eastAsia"/>
                <w:color w:val="000000"/>
                <w:szCs w:val="24"/>
              </w:rPr>
              <w:t>第三十六條不得參</w:t>
            </w:r>
            <w:r w:rsidRPr="008C061C">
              <w:rPr>
                <w:rFonts w:ascii="標楷體" w:eastAsia="標楷體" w:hAnsi="標楷體" w:hint="eastAsia"/>
                <w:color w:val="000000"/>
                <w:szCs w:val="24"/>
              </w:rPr>
              <w:lastRenderedPageBreak/>
              <w:t>與投標之</w:t>
            </w:r>
            <w:r w:rsidRPr="008C061C">
              <w:rPr>
                <w:rFonts w:ascii="標楷體" w:eastAsia="標楷體" w:hAnsi="標楷體"/>
                <w:color w:val="000000"/>
                <w:szCs w:val="24"/>
              </w:rPr>
              <w:t>名單</w:t>
            </w:r>
            <w:r w:rsidRPr="008C061C">
              <w:rPr>
                <w:rFonts w:ascii="標楷體" w:eastAsia="標楷體" w:hAnsi="標楷體" w:hint="eastAsia"/>
                <w:color w:val="000000"/>
                <w:szCs w:val="24"/>
              </w:rPr>
              <w:t>，協辦承銷商應各自上傳依本辦法第三十六條第一項第七款不得參與投標之</w:t>
            </w:r>
            <w:r w:rsidRPr="008C061C">
              <w:rPr>
                <w:rFonts w:ascii="標楷體" w:eastAsia="標楷體" w:hAnsi="標楷體"/>
                <w:color w:val="000000"/>
                <w:szCs w:val="24"/>
              </w:rPr>
              <w:t>名單</w:t>
            </w:r>
            <w:r w:rsidRPr="008C061C">
              <w:rPr>
                <w:rFonts w:ascii="標楷體" w:eastAsia="標楷體" w:hAnsi="標楷體" w:hint="eastAsia"/>
                <w:color w:val="000000"/>
                <w:szCs w:val="24"/>
              </w:rPr>
              <w:t>，證交所據以比對投標人身份之適法性。</w:t>
            </w:r>
          </w:p>
          <w:p w14:paraId="7605BF61" w14:textId="3AC1F8C3" w:rsidR="00414756" w:rsidRPr="00C8079B" w:rsidRDefault="00414756" w:rsidP="00414756">
            <w:pPr>
              <w:pStyle w:val="a4"/>
              <w:spacing w:line="400" w:lineRule="exact"/>
              <w:ind w:left="567" w:hanging="567"/>
              <w:jc w:val="both"/>
              <w:rPr>
                <w:rFonts w:eastAsia="標楷體"/>
                <w:szCs w:val="24"/>
                <w:u w:val="single"/>
              </w:rPr>
            </w:pPr>
            <w:r w:rsidRPr="00C8079B">
              <w:rPr>
                <w:rFonts w:ascii="標楷體" w:eastAsia="標楷體" w:hAnsi="標楷體"/>
                <w:color w:val="FF0000"/>
                <w:szCs w:val="24"/>
                <w:u w:val="single"/>
              </w:rPr>
              <w:t>四、上傳創新板合格投資人名單：辦理股票申請創新板初次上市案件，經紀商應於投標</w:t>
            </w:r>
            <w:bookmarkStart w:id="1" w:name="_Hlk133496181"/>
            <w:r w:rsidRPr="00C8079B">
              <w:rPr>
                <w:rFonts w:ascii="標楷體" w:eastAsia="標楷體" w:hAnsi="標楷體"/>
                <w:color w:val="FF0000"/>
                <w:szCs w:val="24"/>
                <w:u w:val="single"/>
              </w:rPr>
              <w:t>截止日下午二時三十分前，上傳符合本辦法第四十三條之</w:t>
            </w:r>
            <w:proofErr w:type="gramStart"/>
            <w:r w:rsidRPr="00C8079B">
              <w:rPr>
                <w:rFonts w:ascii="標楷體" w:eastAsia="標楷體" w:hAnsi="標楷體"/>
                <w:color w:val="FF0000"/>
                <w:szCs w:val="24"/>
                <w:u w:val="single"/>
              </w:rPr>
              <w:t>一</w:t>
            </w:r>
            <w:proofErr w:type="gramEnd"/>
            <w:r w:rsidRPr="00C8079B">
              <w:rPr>
                <w:rFonts w:ascii="標楷體" w:eastAsia="標楷體" w:hAnsi="標楷體"/>
                <w:color w:val="FF0000"/>
                <w:szCs w:val="24"/>
                <w:u w:val="single"/>
              </w:rPr>
              <w:t>第二項所稱合格投資人之</w:t>
            </w:r>
            <w:proofErr w:type="gramStart"/>
            <w:r w:rsidRPr="00C8079B">
              <w:rPr>
                <w:rFonts w:ascii="標楷體" w:eastAsia="標楷體" w:hAnsi="標楷體"/>
                <w:color w:val="FF0000"/>
                <w:szCs w:val="24"/>
                <w:u w:val="single"/>
              </w:rPr>
              <w:t>名單至競拍</w:t>
            </w:r>
            <w:proofErr w:type="gramEnd"/>
            <w:r w:rsidRPr="00C8079B">
              <w:rPr>
                <w:rFonts w:ascii="標楷體" w:eastAsia="標楷體" w:hAnsi="標楷體"/>
                <w:color w:val="FF0000"/>
                <w:szCs w:val="24"/>
                <w:u w:val="single"/>
              </w:rPr>
              <w:t>系統</w:t>
            </w:r>
            <w:bookmarkEnd w:id="1"/>
            <w:r w:rsidRPr="00C8079B">
              <w:rPr>
                <w:rFonts w:ascii="標楷體" w:eastAsia="標楷體" w:hAnsi="標楷體"/>
                <w:color w:val="FF0000"/>
                <w:szCs w:val="24"/>
                <w:u w:val="single"/>
              </w:rPr>
              <w:t>，證交所據以比對投標人身份之適法性。</w:t>
            </w:r>
          </w:p>
        </w:tc>
        <w:tc>
          <w:tcPr>
            <w:tcW w:w="2211" w:type="dxa"/>
          </w:tcPr>
          <w:p w14:paraId="558BEB17" w14:textId="55443CBB" w:rsidR="00414756" w:rsidRPr="008C061C" w:rsidRDefault="00414756" w:rsidP="00FC768A">
            <w:pPr>
              <w:pStyle w:val="a4"/>
              <w:spacing w:line="400" w:lineRule="exact"/>
              <w:jc w:val="both"/>
              <w:rPr>
                <w:rFonts w:eastAsia="標楷體"/>
                <w:szCs w:val="24"/>
              </w:rPr>
            </w:pPr>
            <w:r w:rsidRPr="008C061C">
              <w:rPr>
                <w:rFonts w:ascii="Times New Roman" w:eastAsia="標楷體" w:hAnsi="Times New Roman"/>
                <w:color w:val="000000"/>
                <w:szCs w:val="24"/>
              </w:rPr>
              <w:lastRenderedPageBreak/>
              <w:t>配合證交所取消創新板合格投資人限制，</w:t>
            </w:r>
            <w:proofErr w:type="gramStart"/>
            <w:r w:rsidRPr="008C061C">
              <w:rPr>
                <w:rFonts w:ascii="Times New Roman" w:eastAsia="標楷體" w:hAnsi="Times New Roman"/>
                <w:color w:val="000000"/>
                <w:szCs w:val="24"/>
              </w:rPr>
              <w:t>刪除</w:t>
            </w:r>
            <w:r w:rsidR="00FC768A" w:rsidRPr="008C061C">
              <w:rPr>
                <w:rFonts w:ascii="Times New Roman" w:eastAsia="標楷體" w:hAnsi="Times New Roman" w:hint="eastAsia"/>
                <w:color w:val="000000"/>
                <w:szCs w:val="24"/>
              </w:rPr>
              <w:t>壹、</w:t>
            </w:r>
            <w:proofErr w:type="gramEnd"/>
            <w:r w:rsidR="00FC768A" w:rsidRPr="008C061C">
              <w:rPr>
                <w:rFonts w:ascii="Times New Roman" w:eastAsia="標楷體" w:hAnsi="Times New Roman" w:hint="eastAsia"/>
                <w:color w:val="000000"/>
                <w:szCs w:val="24"/>
              </w:rPr>
              <w:t>四有關</w:t>
            </w:r>
            <w:r w:rsidR="00B73B6D" w:rsidRPr="008C061C">
              <w:rPr>
                <w:rFonts w:ascii="Times New Roman" w:eastAsia="標楷體" w:hAnsi="Times New Roman" w:hint="eastAsia"/>
                <w:color w:val="000000"/>
                <w:szCs w:val="24"/>
              </w:rPr>
              <w:t>創新板</w:t>
            </w:r>
            <w:r w:rsidRPr="008C061C">
              <w:rPr>
                <w:rFonts w:ascii="Times New Roman" w:eastAsia="標楷體" w:hAnsi="Times New Roman" w:hint="eastAsia"/>
                <w:color w:val="000000"/>
                <w:szCs w:val="24"/>
              </w:rPr>
              <w:t>競價拍賣案件合格投資人身分檢核之作業規範。</w:t>
            </w:r>
          </w:p>
        </w:tc>
      </w:tr>
    </w:tbl>
    <w:p w14:paraId="469596A5" w14:textId="77777777" w:rsidR="00774107" w:rsidRPr="00E029A5" w:rsidRDefault="00774107"/>
    <w:sectPr w:rsidR="00774107" w:rsidRPr="00E029A5" w:rsidSect="008C061C">
      <w:footerReference w:type="default" r:id="rId8"/>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F0D83" w14:textId="77777777" w:rsidR="00024C6D" w:rsidRDefault="00024C6D" w:rsidP="00CE6A22">
      <w:r>
        <w:separator/>
      </w:r>
    </w:p>
  </w:endnote>
  <w:endnote w:type="continuationSeparator" w:id="0">
    <w:p w14:paraId="42A31172" w14:textId="77777777" w:rsidR="00024C6D" w:rsidRDefault="00024C6D" w:rsidP="00CE6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904503"/>
      <w:docPartObj>
        <w:docPartGallery w:val="Page Numbers (Bottom of Page)"/>
        <w:docPartUnique/>
      </w:docPartObj>
    </w:sdtPr>
    <w:sdtContent>
      <w:p w14:paraId="722BCF19" w14:textId="1C5924FC" w:rsidR="008C061C" w:rsidRDefault="008C061C">
        <w:pPr>
          <w:pStyle w:val="a9"/>
          <w:jc w:val="center"/>
        </w:pPr>
        <w:r>
          <w:fldChar w:fldCharType="begin"/>
        </w:r>
        <w:r>
          <w:instrText>PAGE   \* MERGEFORMAT</w:instrText>
        </w:r>
        <w:r>
          <w:fldChar w:fldCharType="separate"/>
        </w:r>
        <w:r>
          <w:rPr>
            <w:lang w:val="zh-TW"/>
          </w:rPr>
          <w:t>2</w:t>
        </w:r>
        <w:r>
          <w:fldChar w:fldCharType="end"/>
        </w:r>
      </w:p>
    </w:sdtContent>
  </w:sdt>
  <w:p w14:paraId="0B69041D" w14:textId="77777777" w:rsidR="008C061C" w:rsidRDefault="008C061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F70A3" w14:textId="77777777" w:rsidR="00024C6D" w:rsidRDefault="00024C6D" w:rsidP="00CE6A22">
      <w:r>
        <w:separator/>
      </w:r>
    </w:p>
  </w:footnote>
  <w:footnote w:type="continuationSeparator" w:id="0">
    <w:p w14:paraId="4737C803" w14:textId="77777777" w:rsidR="00024C6D" w:rsidRDefault="00024C6D" w:rsidP="00CE6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3195C"/>
    <w:multiLevelType w:val="hybridMultilevel"/>
    <w:tmpl w:val="162267A4"/>
    <w:lvl w:ilvl="0" w:tplc="51F49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EEC7B12"/>
    <w:multiLevelType w:val="hybridMultilevel"/>
    <w:tmpl w:val="898C5CAE"/>
    <w:lvl w:ilvl="0" w:tplc="4186459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6000136">
    <w:abstractNumId w:val="1"/>
  </w:num>
  <w:num w:numId="2" w16cid:durableId="188278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07"/>
    <w:rsid w:val="00001A12"/>
    <w:rsid w:val="00024C6D"/>
    <w:rsid w:val="00032F0B"/>
    <w:rsid w:val="00057BA2"/>
    <w:rsid w:val="000645B8"/>
    <w:rsid w:val="00073511"/>
    <w:rsid w:val="000A631E"/>
    <w:rsid w:val="000A6376"/>
    <w:rsid w:val="001220E1"/>
    <w:rsid w:val="00125819"/>
    <w:rsid w:val="001448A4"/>
    <w:rsid w:val="001858B8"/>
    <w:rsid w:val="00196717"/>
    <w:rsid w:val="001A408A"/>
    <w:rsid w:val="001B621D"/>
    <w:rsid w:val="001C077B"/>
    <w:rsid w:val="001C185A"/>
    <w:rsid w:val="0020063C"/>
    <w:rsid w:val="0021589A"/>
    <w:rsid w:val="00250B94"/>
    <w:rsid w:val="0027728D"/>
    <w:rsid w:val="00280755"/>
    <w:rsid w:val="00284367"/>
    <w:rsid w:val="002A078F"/>
    <w:rsid w:val="002C211B"/>
    <w:rsid w:val="002C7F88"/>
    <w:rsid w:val="002D3C8F"/>
    <w:rsid w:val="002E7679"/>
    <w:rsid w:val="002F54BF"/>
    <w:rsid w:val="003E7A80"/>
    <w:rsid w:val="00414756"/>
    <w:rsid w:val="004152F0"/>
    <w:rsid w:val="00440C72"/>
    <w:rsid w:val="00445BE3"/>
    <w:rsid w:val="004A11D2"/>
    <w:rsid w:val="004C2194"/>
    <w:rsid w:val="004E2E95"/>
    <w:rsid w:val="004E60E7"/>
    <w:rsid w:val="004F39D8"/>
    <w:rsid w:val="0050146F"/>
    <w:rsid w:val="00525D56"/>
    <w:rsid w:val="00537820"/>
    <w:rsid w:val="00541835"/>
    <w:rsid w:val="00562B11"/>
    <w:rsid w:val="005B41F7"/>
    <w:rsid w:val="005C2312"/>
    <w:rsid w:val="005E38B6"/>
    <w:rsid w:val="005E53AA"/>
    <w:rsid w:val="00644C52"/>
    <w:rsid w:val="006519FE"/>
    <w:rsid w:val="00654880"/>
    <w:rsid w:val="006763E3"/>
    <w:rsid w:val="00677D9B"/>
    <w:rsid w:val="006924C2"/>
    <w:rsid w:val="006960DB"/>
    <w:rsid w:val="006E09BA"/>
    <w:rsid w:val="006F6068"/>
    <w:rsid w:val="00704DC2"/>
    <w:rsid w:val="00720B4D"/>
    <w:rsid w:val="00774107"/>
    <w:rsid w:val="007742E9"/>
    <w:rsid w:val="00775F9B"/>
    <w:rsid w:val="0077635E"/>
    <w:rsid w:val="007A22CC"/>
    <w:rsid w:val="007E46EF"/>
    <w:rsid w:val="008328CD"/>
    <w:rsid w:val="0085664F"/>
    <w:rsid w:val="00866B9B"/>
    <w:rsid w:val="008A2F32"/>
    <w:rsid w:val="008C061C"/>
    <w:rsid w:val="008D3E40"/>
    <w:rsid w:val="008F0304"/>
    <w:rsid w:val="008F120B"/>
    <w:rsid w:val="00906254"/>
    <w:rsid w:val="00933CEF"/>
    <w:rsid w:val="00945963"/>
    <w:rsid w:val="0094789B"/>
    <w:rsid w:val="00977548"/>
    <w:rsid w:val="00980F35"/>
    <w:rsid w:val="0098389B"/>
    <w:rsid w:val="00993B0D"/>
    <w:rsid w:val="009C3673"/>
    <w:rsid w:val="009C6E14"/>
    <w:rsid w:val="009F0AD0"/>
    <w:rsid w:val="00A1070B"/>
    <w:rsid w:val="00A237E5"/>
    <w:rsid w:val="00A30BC3"/>
    <w:rsid w:val="00A5141D"/>
    <w:rsid w:val="00A554F9"/>
    <w:rsid w:val="00A64EF4"/>
    <w:rsid w:val="00A971E9"/>
    <w:rsid w:val="00AA1144"/>
    <w:rsid w:val="00B47921"/>
    <w:rsid w:val="00B65692"/>
    <w:rsid w:val="00B71994"/>
    <w:rsid w:val="00B73B6D"/>
    <w:rsid w:val="00BC492C"/>
    <w:rsid w:val="00C02C3A"/>
    <w:rsid w:val="00C135F1"/>
    <w:rsid w:val="00C71A95"/>
    <w:rsid w:val="00C8079B"/>
    <w:rsid w:val="00C97C3D"/>
    <w:rsid w:val="00CA34FC"/>
    <w:rsid w:val="00CD7C7D"/>
    <w:rsid w:val="00CE6A22"/>
    <w:rsid w:val="00D32AD6"/>
    <w:rsid w:val="00D41068"/>
    <w:rsid w:val="00D55F04"/>
    <w:rsid w:val="00D60164"/>
    <w:rsid w:val="00D73BE8"/>
    <w:rsid w:val="00D7486B"/>
    <w:rsid w:val="00DB5B77"/>
    <w:rsid w:val="00DD0B05"/>
    <w:rsid w:val="00DD26EA"/>
    <w:rsid w:val="00E029A5"/>
    <w:rsid w:val="00E7617C"/>
    <w:rsid w:val="00EA4744"/>
    <w:rsid w:val="00EB5EAE"/>
    <w:rsid w:val="00EF6D6E"/>
    <w:rsid w:val="00F671D5"/>
    <w:rsid w:val="00F8088C"/>
    <w:rsid w:val="00FA2186"/>
    <w:rsid w:val="00FA4F17"/>
    <w:rsid w:val="00FC768A"/>
    <w:rsid w:val="00FE4B07"/>
    <w:rsid w:val="00FE73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EECE2"/>
  <w15:chartTrackingRefBased/>
  <w15:docId w15:val="{ABDCC20A-17EA-45CB-B315-7FE56650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0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107"/>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774107"/>
    <w:rPr>
      <w:rFonts w:ascii="細明體" w:eastAsia="細明體" w:hAnsi="Courier New"/>
    </w:rPr>
  </w:style>
  <w:style w:type="character" w:customStyle="1" w:styleId="a5">
    <w:name w:val="純文字 字元"/>
    <w:basedOn w:val="a0"/>
    <w:link w:val="a4"/>
    <w:rsid w:val="00774107"/>
    <w:rPr>
      <w:rFonts w:ascii="細明體" w:eastAsia="細明體" w:hAnsi="Courier New" w:cs="Times New Roman"/>
      <w:szCs w:val="20"/>
    </w:rPr>
  </w:style>
  <w:style w:type="paragraph" w:styleId="a6">
    <w:name w:val="List Paragraph"/>
    <w:basedOn w:val="a"/>
    <w:uiPriority w:val="34"/>
    <w:qFormat/>
    <w:rsid w:val="00774107"/>
    <w:pPr>
      <w:ind w:leftChars="200" w:left="480"/>
    </w:pPr>
  </w:style>
  <w:style w:type="paragraph" w:styleId="a7">
    <w:name w:val="header"/>
    <w:basedOn w:val="a"/>
    <w:link w:val="a8"/>
    <w:uiPriority w:val="99"/>
    <w:unhideWhenUsed/>
    <w:rsid w:val="00CE6A22"/>
    <w:pPr>
      <w:tabs>
        <w:tab w:val="center" w:pos="4153"/>
        <w:tab w:val="right" w:pos="8306"/>
      </w:tabs>
      <w:snapToGrid w:val="0"/>
    </w:pPr>
    <w:rPr>
      <w:sz w:val="20"/>
    </w:rPr>
  </w:style>
  <w:style w:type="character" w:customStyle="1" w:styleId="a8">
    <w:name w:val="頁首 字元"/>
    <w:basedOn w:val="a0"/>
    <w:link w:val="a7"/>
    <w:uiPriority w:val="99"/>
    <w:rsid w:val="00CE6A22"/>
    <w:rPr>
      <w:rFonts w:ascii="Times New Roman" w:eastAsia="新細明體" w:hAnsi="Times New Roman" w:cs="Times New Roman"/>
      <w:sz w:val="20"/>
      <w:szCs w:val="20"/>
    </w:rPr>
  </w:style>
  <w:style w:type="paragraph" w:styleId="a9">
    <w:name w:val="footer"/>
    <w:basedOn w:val="a"/>
    <w:link w:val="aa"/>
    <w:uiPriority w:val="99"/>
    <w:unhideWhenUsed/>
    <w:rsid w:val="00CE6A22"/>
    <w:pPr>
      <w:tabs>
        <w:tab w:val="center" w:pos="4153"/>
        <w:tab w:val="right" w:pos="8306"/>
      </w:tabs>
      <w:snapToGrid w:val="0"/>
    </w:pPr>
    <w:rPr>
      <w:sz w:val="20"/>
    </w:rPr>
  </w:style>
  <w:style w:type="character" w:customStyle="1" w:styleId="aa">
    <w:name w:val="頁尾 字元"/>
    <w:basedOn w:val="a0"/>
    <w:link w:val="a9"/>
    <w:uiPriority w:val="99"/>
    <w:rsid w:val="00CE6A22"/>
    <w:rPr>
      <w:rFonts w:ascii="Times New Roman" w:eastAsia="新細明體" w:hAnsi="Times New Roman" w:cs="Times New Roman"/>
      <w:sz w:val="20"/>
      <w:szCs w:val="20"/>
    </w:rPr>
  </w:style>
  <w:style w:type="paragraph" w:customStyle="1" w:styleId="1">
    <w:name w:val="內文1"/>
    <w:basedOn w:val="a"/>
    <w:rsid w:val="002E7679"/>
    <w:pPr>
      <w:widowControl/>
      <w:snapToGrid w:val="0"/>
      <w:spacing w:before="40" w:after="40" w:line="300" w:lineRule="exact"/>
      <w:ind w:left="1191" w:right="113"/>
      <w:jc w:val="both"/>
    </w:pPr>
    <w:rPr>
      <w:rFonts w:ascii="標楷體" w:eastAsia="標楷體" w:hAnsi="Arial"/>
      <w:color w:val="000000"/>
      <w:spacing w:val="-2"/>
      <w:sz w:val="26"/>
    </w:rPr>
  </w:style>
  <w:style w:type="paragraph" w:styleId="HTML">
    <w:name w:val="HTML Preformatted"/>
    <w:basedOn w:val="a"/>
    <w:link w:val="HTML0"/>
    <w:uiPriority w:val="99"/>
    <w:semiHidden/>
    <w:unhideWhenUsed/>
    <w:rsid w:val="00A554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A554F9"/>
    <w:rPr>
      <w:rFonts w:ascii="細明體" w:eastAsia="細明體" w:hAnsi="細明體" w:cs="細明體"/>
      <w:kern w:val="0"/>
      <w:szCs w:val="24"/>
    </w:rPr>
  </w:style>
  <w:style w:type="paragraph" w:customStyle="1" w:styleId="10">
    <w:name w:val="樣式1"/>
    <w:basedOn w:val="a4"/>
    <w:rsid w:val="0085664F"/>
    <w:pPr>
      <w:spacing w:line="400" w:lineRule="exact"/>
      <w:ind w:left="1928" w:hanging="482"/>
    </w:pPr>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059207">
      <w:bodyDiv w:val="1"/>
      <w:marLeft w:val="0"/>
      <w:marRight w:val="0"/>
      <w:marTop w:val="0"/>
      <w:marBottom w:val="0"/>
      <w:divBdr>
        <w:top w:val="none" w:sz="0" w:space="0" w:color="auto"/>
        <w:left w:val="none" w:sz="0" w:space="0" w:color="auto"/>
        <w:bottom w:val="none" w:sz="0" w:space="0" w:color="auto"/>
        <w:right w:val="none" w:sz="0" w:space="0" w:color="auto"/>
      </w:divBdr>
    </w:div>
    <w:div w:id="900795040">
      <w:bodyDiv w:val="1"/>
      <w:marLeft w:val="0"/>
      <w:marRight w:val="0"/>
      <w:marTop w:val="0"/>
      <w:marBottom w:val="0"/>
      <w:divBdr>
        <w:top w:val="none" w:sz="0" w:space="0" w:color="auto"/>
        <w:left w:val="none" w:sz="0" w:space="0" w:color="auto"/>
        <w:bottom w:val="none" w:sz="0" w:space="0" w:color="auto"/>
        <w:right w:val="none" w:sz="0" w:space="0" w:color="auto"/>
      </w:divBdr>
    </w:div>
    <w:div w:id="1169562857">
      <w:bodyDiv w:val="1"/>
      <w:marLeft w:val="0"/>
      <w:marRight w:val="0"/>
      <w:marTop w:val="0"/>
      <w:marBottom w:val="0"/>
      <w:divBdr>
        <w:top w:val="none" w:sz="0" w:space="0" w:color="auto"/>
        <w:left w:val="none" w:sz="0" w:space="0" w:color="auto"/>
        <w:bottom w:val="none" w:sz="0" w:space="0" w:color="auto"/>
        <w:right w:val="none" w:sz="0" w:space="0" w:color="auto"/>
      </w:divBdr>
    </w:div>
    <w:div w:id="1372456658">
      <w:bodyDiv w:val="1"/>
      <w:marLeft w:val="0"/>
      <w:marRight w:val="0"/>
      <w:marTop w:val="0"/>
      <w:marBottom w:val="0"/>
      <w:divBdr>
        <w:top w:val="none" w:sz="0" w:space="0" w:color="auto"/>
        <w:left w:val="none" w:sz="0" w:space="0" w:color="auto"/>
        <w:bottom w:val="none" w:sz="0" w:space="0" w:color="auto"/>
        <w:right w:val="none" w:sz="0" w:space="0" w:color="auto"/>
      </w:divBdr>
    </w:div>
    <w:div w:id="21121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2C835-8F79-457D-B114-CE01269C9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韻琳 鍾</dc:creator>
  <cp:keywords/>
  <dc:description/>
  <cp:lastModifiedBy>鍾韻琳</cp:lastModifiedBy>
  <cp:revision>2</cp:revision>
  <cp:lastPrinted>2024-01-17T02:32:00Z</cp:lastPrinted>
  <dcterms:created xsi:type="dcterms:W3CDTF">2024-12-16T08:44:00Z</dcterms:created>
  <dcterms:modified xsi:type="dcterms:W3CDTF">2024-12-16T08:44:00Z</dcterms:modified>
</cp:coreProperties>
</file>